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7" w:rsidRDefault="005038A7">
      <w:pPr>
        <w:pStyle w:val="Heading2"/>
        <w:rPr>
          <w:lang w:val="en-US"/>
        </w:rPr>
      </w:pPr>
      <w:r>
        <w:rPr>
          <w:lang w:val="en-US"/>
        </w:rPr>
        <w:t>Outline of Workshop 3 “SCC Arbitration Practice”</w:t>
      </w:r>
    </w:p>
    <w:p w:rsidR="005038A7" w:rsidRDefault="005038A7">
      <w:pPr>
        <w:rPr>
          <w:lang w:val="en-US"/>
        </w:rPr>
      </w:pPr>
    </w:p>
    <w:p w:rsidR="005038A7" w:rsidRDefault="005038A7">
      <w:pPr>
        <w:rPr>
          <w:lang w:val="en-US"/>
        </w:rPr>
      </w:pPr>
      <w:r>
        <w:rPr>
          <w:lang w:val="en-US"/>
        </w:rPr>
        <w:t>Introduction to the SCC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Origin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Structure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Fields of work</w:t>
      </w:r>
    </w:p>
    <w:p w:rsidR="005038A7" w:rsidRDefault="005038A7">
      <w:pPr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Stockholm</w:t>
          </w:r>
        </w:smartTag>
      </w:smartTag>
      <w:r>
        <w:rPr>
          <w:lang w:val="en-US"/>
        </w:rPr>
        <w:t xml:space="preserve"> as a seat for international arbitration 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Swedish legal system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Swedish LexArbitri</w:t>
      </w:r>
    </w:p>
    <w:p w:rsidR="005038A7" w:rsidRDefault="005038A7">
      <w:pPr>
        <w:rPr>
          <w:lang w:val="en-US"/>
        </w:rPr>
      </w:pPr>
      <w:r>
        <w:rPr>
          <w:lang w:val="en-US"/>
        </w:rPr>
        <w:t>The decisions by the SCC Board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Appointment of arbitrators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Challenges to arbitrators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Jurisdiction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Seat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Number of arbitrators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Consolidation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Advance on costs</w:t>
      </w:r>
    </w:p>
    <w:p w:rsidR="005038A7" w:rsidRDefault="005038A7">
      <w:pPr>
        <w:rPr>
          <w:lang w:val="en-US"/>
        </w:rPr>
      </w:pPr>
      <w:r>
        <w:rPr>
          <w:lang w:val="en-US"/>
        </w:rPr>
        <w:t xml:space="preserve">Specific issues 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Emergency Arbitrator</w:t>
      </w:r>
    </w:p>
    <w:p w:rsidR="005038A7" w:rsidRDefault="005038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Separate award on costs</w:t>
      </w:r>
    </w:p>
    <w:p w:rsidR="005038A7" w:rsidRDefault="005038A7">
      <w:pPr>
        <w:pStyle w:val="Heading2"/>
        <w:pBdr>
          <w:bottom w:val="single" w:sz="4" w:space="1" w:color="auto"/>
        </w:pBdr>
        <w:rPr>
          <w:lang w:val="en-US"/>
        </w:rPr>
      </w:pPr>
    </w:p>
    <w:p w:rsidR="005038A7" w:rsidRDefault="005038A7">
      <w:pPr>
        <w:pStyle w:val="Heading2"/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Reading</w:t>
          </w:r>
        </w:smartTag>
      </w:smartTag>
      <w:r>
        <w:rPr>
          <w:lang w:val="en-US"/>
        </w:rPr>
        <w:t xml:space="preserve"> list</w:t>
      </w:r>
    </w:p>
    <w:p w:rsidR="005038A7" w:rsidRDefault="005038A7">
      <w:pPr>
        <w:pStyle w:val="Heading3"/>
        <w:rPr>
          <w:lang w:val="en-US"/>
        </w:rPr>
      </w:pPr>
      <w:r>
        <w:rPr>
          <w:lang w:val="en-US"/>
        </w:rPr>
        <w:t>Primary texts</w:t>
      </w:r>
    </w:p>
    <w:p w:rsidR="005038A7" w:rsidRDefault="005038A7">
      <w:pPr>
        <w:rPr>
          <w:lang w:val="en-US"/>
        </w:rPr>
      </w:pPr>
    </w:p>
    <w:p w:rsidR="005038A7" w:rsidRDefault="005038A7">
      <w:pPr>
        <w:rPr>
          <w:lang w:val="en-US"/>
        </w:rPr>
      </w:pPr>
      <w:r>
        <w:rPr>
          <w:lang w:val="en-US"/>
        </w:rPr>
        <w:t>SCC Arbitration Rules 2010</w:t>
      </w:r>
    </w:p>
    <w:p w:rsidR="005038A7" w:rsidRDefault="005038A7">
      <w:pPr>
        <w:rPr>
          <w:lang w:val="en-US"/>
        </w:rPr>
      </w:pPr>
      <w:r>
        <w:rPr>
          <w:lang w:val="en-US"/>
        </w:rPr>
        <w:t>SCC Rules for Expedited Arbitrations 2010</w:t>
      </w:r>
    </w:p>
    <w:p w:rsidR="005038A7" w:rsidRDefault="005038A7">
      <w:pPr>
        <w:rPr>
          <w:lang w:val="en-US"/>
        </w:rPr>
      </w:pPr>
      <w:r>
        <w:rPr>
          <w:lang w:val="en-US"/>
        </w:rPr>
        <w:t xml:space="preserve">(Rules found at: </w:t>
      </w:r>
      <w:hyperlink r:id="rId7" w:history="1">
        <w:r>
          <w:rPr>
            <w:rStyle w:val="Hyperlink"/>
            <w:lang w:val="en-US"/>
          </w:rPr>
          <w:t>http://www.sccinstitute.com/skiljeforfarande-2/regler-4.aspx</w:t>
        </w:r>
      </w:hyperlink>
      <w:r>
        <w:rPr>
          <w:lang w:val="en-US"/>
        </w:rPr>
        <w:t xml:space="preserve"> )</w:t>
      </w:r>
    </w:p>
    <w:p w:rsidR="005038A7" w:rsidRDefault="005038A7">
      <w:pPr>
        <w:rPr>
          <w:lang w:val="en-US"/>
        </w:rPr>
      </w:pPr>
      <w:r>
        <w:rPr>
          <w:lang w:val="en-US"/>
        </w:rPr>
        <w:t>The Swedish Arbitration Act (SFS 1999:116)</w:t>
      </w:r>
    </w:p>
    <w:p w:rsidR="005038A7" w:rsidRDefault="005038A7">
      <w:pPr>
        <w:rPr>
          <w:lang w:val="en-US"/>
        </w:rPr>
      </w:pPr>
      <w:r>
        <w:rPr>
          <w:lang w:val="en-US"/>
        </w:rPr>
        <w:t xml:space="preserve">(Act found at: </w:t>
      </w:r>
      <w:hyperlink r:id="rId8" w:history="1">
        <w:r>
          <w:rPr>
            <w:rStyle w:val="Hyperlink"/>
            <w:lang w:val="en-US"/>
          </w:rPr>
          <w:t>http://www.sccinstitute.com/?id=23746</w:t>
        </w:r>
      </w:hyperlink>
      <w:r>
        <w:rPr>
          <w:lang w:val="en-US"/>
        </w:rPr>
        <w:t xml:space="preserve"> )</w:t>
      </w:r>
    </w:p>
    <w:p w:rsidR="005038A7" w:rsidRDefault="005038A7">
      <w:pPr>
        <w:rPr>
          <w:lang w:val="en-US"/>
        </w:rPr>
      </w:pPr>
    </w:p>
    <w:p w:rsidR="005038A7" w:rsidRDefault="005038A7">
      <w:pPr>
        <w:pStyle w:val="Heading3"/>
        <w:rPr>
          <w:lang w:val="en-US"/>
        </w:rPr>
      </w:pPr>
      <w:r>
        <w:rPr>
          <w:lang w:val="en-US"/>
        </w:rPr>
        <w:t>Articles</w:t>
      </w:r>
    </w:p>
    <w:p w:rsidR="005038A7" w:rsidRDefault="005038A7">
      <w:pPr>
        <w:spacing w:before="100" w:beforeAutospacing="1" w:after="100" w:afterAutospacing="1" w:line="280" w:lineRule="atLeast"/>
        <w:rPr>
          <w:lang w:val="en-US"/>
        </w:rPr>
      </w:pPr>
      <w:r>
        <w:rPr>
          <w:i/>
          <w:lang w:val="en-US"/>
        </w:rPr>
        <w:t>James Hope</w:t>
      </w:r>
      <w:r>
        <w:rPr>
          <w:lang w:val="en-US"/>
        </w:rPr>
        <w:t xml:space="preserve">, “Why choose </w:t>
      </w:r>
      <w:smartTag w:uri="urn:schemas-microsoft-com:office:smarttags" w:element="country-region">
        <w:r>
          <w:rPr>
            <w:lang w:val="en-US"/>
          </w:rPr>
          <w:t>Stockholm</w:t>
        </w:r>
      </w:smartTag>
      <w:r>
        <w:rPr>
          <w:lang w:val="en-US"/>
        </w:rPr>
        <w:t>” – available online at the SCC website, public</w:t>
      </w:r>
    </w:p>
    <w:p w:rsidR="005038A7" w:rsidRDefault="005038A7">
      <w:pPr>
        <w:spacing w:before="100" w:beforeAutospacing="1" w:after="100" w:afterAutospacing="1" w:line="280" w:lineRule="atLeast"/>
        <w:rPr>
          <w:lang w:val="en-US"/>
        </w:rPr>
      </w:pPr>
      <w:r>
        <w:rPr>
          <w:i/>
          <w:lang w:val="en-US"/>
        </w:rPr>
        <w:t>Per Runeland</w:t>
      </w:r>
      <w:r>
        <w:rPr>
          <w:lang w:val="en-US"/>
        </w:rPr>
        <w:t>, “</w:t>
      </w:r>
      <w:smartTag w:uri="urn:schemas-microsoft-com:office:smarttags" w:element="country-region">
        <w:r>
          <w:rPr>
            <w:lang w:val="en-US"/>
          </w:rPr>
          <w:t>Sweden</w:t>
        </w:r>
      </w:smartTag>
      <w:r>
        <w:rPr>
          <w:lang w:val="en-US"/>
        </w:rPr>
        <w:t xml:space="preserve"> Thrives As a Neutral Arbitration Ground”</w:t>
      </w:r>
      <w:bookmarkStart w:id="0" w:name="_GoBack"/>
      <w:bookmarkEnd w:id="0"/>
    </w:p>
    <w:p w:rsidR="005038A7" w:rsidRDefault="005038A7">
      <w:pPr>
        <w:spacing w:before="100" w:beforeAutospacing="1" w:after="100" w:afterAutospacing="1" w:line="280" w:lineRule="atLeast"/>
        <w:rPr>
          <w:lang w:val="en-US"/>
        </w:rPr>
      </w:pPr>
      <w:r>
        <w:rPr>
          <w:i/>
          <w:lang w:val="en-US"/>
        </w:rPr>
        <w:t xml:space="preserve">Annette Magnusson </w:t>
      </w:r>
      <w:r>
        <w:rPr>
          <w:lang w:val="en-US"/>
        </w:rPr>
        <w:t xml:space="preserve">and </w:t>
      </w:r>
      <w:r>
        <w:rPr>
          <w:i/>
          <w:lang w:val="en-US"/>
        </w:rPr>
        <w:t>Patricia Shaughnessy</w:t>
      </w:r>
      <w:r>
        <w:rPr>
          <w:lang w:val="en-US"/>
        </w:rPr>
        <w:t>, “The 2007 Arbitration Rules of the Arbitration Institute of the Stockholm Chamber of Commerce” - available online at the SCC website, public</w:t>
      </w:r>
    </w:p>
    <w:p w:rsidR="005038A7" w:rsidRDefault="005038A7">
      <w:pPr>
        <w:spacing w:before="100" w:beforeAutospacing="1" w:after="100" w:afterAutospacing="1" w:line="280" w:lineRule="atLeast"/>
        <w:rPr>
          <w:rFonts w:cs="Calibri"/>
          <w:bCs/>
          <w:kern w:val="36"/>
          <w:lang w:val="en-US"/>
        </w:rPr>
      </w:pPr>
      <w:r>
        <w:rPr>
          <w:i/>
          <w:lang w:val="en-US"/>
        </w:rPr>
        <w:t>Patricia Shaughnessy</w:t>
      </w:r>
      <w:r>
        <w:rPr>
          <w:rFonts w:cs="Calibri"/>
          <w:bCs/>
          <w:kern w:val="36"/>
          <w:lang w:val="en-US"/>
        </w:rPr>
        <w:t>, “The New SCC Emergency Arbitrator Rules” - Chapter 33 - Between East and West: Essays in Honour of Ulf Franke</w:t>
      </w:r>
    </w:p>
    <w:p w:rsidR="005038A7" w:rsidRDefault="005038A7">
      <w:pPr>
        <w:spacing w:before="100" w:beforeAutospacing="1" w:after="100" w:afterAutospacing="1" w:line="280" w:lineRule="atLeast"/>
        <w:rPr>
          <w:rFonts w:cs="Calibri"/>
          <w:lang w:val="en-US"/>
        </w:rPr>
      </w:pPr>
    </w:p>
    <w:p w:rsidR="005038A7" w:rsidRDefault="005038A7">
      <w:pPr>
        <w:pStyle w:val="Heading3"/>
        <w:rPr>
          <w:lang w:val="en-US"/>
        </w:rPr>
      </w:pPr>
      <w:r>
        <w:rPr>
          <w:lang w:val="en-US"/>
        </w:rPr>
        <w:t>Case law</w:t>
      </w:r>
    </w:p>
    <w:p w:rsidR="005038A7" w:rsidRDefault="005038A7">
      <w:pPr>
        <w:rPr>
          <w:lang w:val="en-US"/>
        </w:rPr>
      </w:pPr>
    </w:p>
    <w:p w:rsidR="005038A7" w:rsidRDefault="005038A7">
      <w:pPr>
        <w:rPr>
          <w:lang w:val="en-US"/>
        </w:rPr>
      </w:pPr>
      <w:r>
        <w:rPr>
          <w:lang w:val="en-US"/>
        </w:rPr>
        <w:t>“Bulbank” - Judgment of the Swedish Supreme Court, T 1881-99</w:t>
      </w:r>
    </w:p>
    <w:p w:rsidR="005038A7" w:rsidRDefault="005038A7">
      <w:pPr>
        <w:rPr>
          <w:lang w:val="en-US"/>
        </w:rPr>
      </w:pPr>
      <w:r>
        <w:rPr>
          <w:lang w:val="en-US"/>
        </w:rPr>
        <w:t>“Petrobart” - Judgment of the Swedish Supreme Court, T 2113-06</w:t>
      </w:r>
    </w:p>
    <w:p w:rsidR="005038A7" w:rsidRDefault="005038A7">
      <w:pPr>
        <w:rPr>
          <w:lang w:val="en-US"/>
        </w:rPr>
      </w:pPr>
      <w:r>
        <w:rPr>
          <w:lang w:val="en-US"/>
        </w:rPr>
        <w:t>“Rosinvest” - Decision of the Swedish Supreme Court, Ö 2301-09</w:t>
      </w:r>
    </w:p>
    <w:p w:rsidR="005038A7" w:rsidRDefault="005038A7">
      <w:pPr>
        <w:rPr>
          <w:lang w:val="en-US"/>
        </w:rPr>
      </w:pPr>
      <w:r>
        <w:rPr>
          <w:lang w:val="en-US"/>
        </w:rPr>
        <w:t>“Korsnas” - Judgment of the Swedish Supreme Court, T 156-09</w:t>
      </w:r>
    </w:p>
    <w:p w:rsidR="005038A7" w:rsidRDefault="005038A7">
      <w:pPr>
        <w:rPr>
          <w:lang w:val="en-US"/>
        </w:rPr>
      </w:pPr>
      <w:r>
        <w:rPr>
          <w:lang w:val="en-US"/>
        </w:rPr>
        <w:t xml:space="preserve">(all to be found at </w:t>
      </w:r>
      <w:hyperlink r:id="rId9" w:history="1">
        <w:r>
          <w:rPr>
            <w:rStyle w:val="Hyperlink"/>
            <w:lang w:val="en-US"/>
          </w:rPr>
          <w:t>http://www.jpinfonet.se/Swedish-Arbitration-Portal/</w:t>
        </w:r>
      </w:hyperlink>
      <w:r>
        <w:rPr>
          <w:lang w:val="en-US"/>
        </w:rPr>
        <w:t xml:space="preserve"> )</w:t>
      </w:r>
    </w:p>
    <w:sectPr w:rsidR="005038A7" w:rsidSect="00503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A7" w:rsidRDefault="005038A7">
      <w:r>
        <w:separator/>
      </w:r>
    </w:p>
  </w:endnote>
  <w:endnote w:type="continuationSeparator" w:id="1">
    <w:p w:rsidR="005038A7" w:rsidRDefault="0050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A7" w:rsidRDefault="00503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A7" w:rsidRDefault="005038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A7" w:rsidRDefault="00503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A7" w:rsidRDefault="005038A7">
      <w:r>
        <w:separator/>
      </w:r>
    </w:p>
  </w:footnote>
  <w:footnote w:type="continuationSeparator" w:id="1">
    <w:p w:rsidR="005038A7" w:rsidRDefault="0050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A7" w:rsidRDefault="00503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A7" w:rsidRDefault="005038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A7" w:rsidRDefault="00503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FF7"/>
    <w:multiLevelType w:val="hybridMultilevel"/>
    <w:tmpl w:val="3086E540"/>
    <w:lvl w:ilvl="0" w:tplc="041D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89E6604"/>
    <w:multiLevelType w:val="hybridMultilevel"/>
    <w:tmpl w:val="0724314C"/>
    <w:lvl w:ilvl="0" w:tplc="1166FD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451FB"/>
    <w:multiLevelType w:val="hybridMultilevel"/>
    <w:tmpl w:val="A076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05BE0"/>
    <w:multiLevelType w:val="hybridMultilevel"/>
    <w:tmpl w:val="6FCC76D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A7"/>
    <w:rsid w:val="0050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MS Gothic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8A7"/>
    <w:rPr>
      <w:lang w:val="sv-S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8A7"/>
    <w:rPr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institute.com/?id=2374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cinstitute.com/skiljeforfarande-2/regler-4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pinfonet.se/Swedish-Arbitration-Porta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2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Lundstedt</dc:creator>
  <cp:keywords/>
  <dc:description/>
  <cp:lastModifiedBy>BB15042</cp:lastModifiedBy>
  <cp:revision>10</cp:revision>
  <cp:lastPrinted>2012-06-19T12:47:00Z</cp:lastPrinted>
  <dcterms:created xsi:type="dcterms:W3CDTF">2012-06-18T12:19:00Z</dcterms:created>
  <dcterms:modified xsi:type="dcterms:W3CDTF">2012-06-25T21:39:00Z</dcterms:modified>
</cp:coreProperties>
</file>